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60" w:before="0" w:after="0"/>
        <w:ind w:firstLine="708"/>
        <w:jc w:val="center"/>
        <w:rPr/>
      </w:pPr>
      <w:r>
        <w:rPr>
          <w:rFonts w:cs="Tahoma" w:ascii="Tahoma" w:hAnsi="Tahoma"/>
          <w:sz w:val="16"/>
          <w:szCs w:val="16"/>
        </w:rPr>
        <w:t xml:space="preserve">WZÓR UMOWY </w:t>
      </w:r>
    </w:p>
    <w:p>
      <w:pPr>
        <w:pStyle w:val="Normal"/>
        <w:spacing w:lineRule="auto" w:line="360"/>
        <w:jc w:val="both"/>
        <w:rPr>
          <w:color w:val="000000"/>
          <w:highlight w:val="white"/>
        </w:rPr>
      </w:pPr>
      <w:r>
        <w:rPr>
          <w:rFonts w:eastAsia="Calibri" w:cs="Tahoma" w:ascii="Tahoma" w:hAnsi="Tahoma"/>
          <w:color w:val="000000"/>
          <w:sz w:val="16"/>
          <w:szCs w:val="16"/>
          <w:highlight w:val="white"/>
        </w:rPr>
        <w:t xml:space="preserve">zawarta w trybie art. 2 ust. 1 pkt. 1 Ustawy z dnia 11 września 2019 r. Prawo Zamówień Publicznych zwanej dalej „PZP” </w:t>
      </w:r>
      <w:r>
        <w:rPr>
          <w:rFonts w:eastAsia="Calibri" w:cs="Tahoma" w:ascii="Tahoma" w:hAnsi="Tahoma"/>
          <w:color w:val="000000"/>
          <w:sz w:val="16"/>
          <w:szCs w:val="16"/>
          <w:highlight w:val="white"/>
        </w:rPr>
        <w:t>(Dz. U. z  2019 r. poz. 2019 ze zm.)</w:t>
      </w:r>
      <w:r>
        <w:rPr>
          <w:rFonts w:eastAsia="Calibri" w:cs="Tahoma" w:ascii="Tahoma" w:hAnsi="Tahoma"/>
          <w:color w:val="000000"/>
          <w:sz w:val="16"/>
          <w:szCs w:val="16"/>
          <w:highlight w:val="white"/>
        </w:rPr>
        <w:t xml:space="preserve"> 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  <w:highlight w:val="white"/>
        </w:rPr>
      </w:pPr>
      <w:r>
        <w:rPr>
          <w:rFonts w:eastAsia="Calibri" w:cs="Tahoma" w:ascii="Tahoma" w:hAnsi="Tahoma"/>
          <w:sz w:val="16"/>
          <w:szCs w:val="16"/>
          <w:highlight w:val="white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Tahoma" w:ascii="Tahoma" w:hAnsi="Tahoma"/>
          <w:sz w:val="16"/>
          <w:szCs w:val="16"/>
        </w:rPr>
        <w:t xml:space="preserve">w dniu  </w:t>
      </w:r>
      <w:r>
        <w:rPr>
          <w:rFonts w:eastAsia="Calibri" w:cs="Tahoma" w:ascii="Tahoma" w:hAnsi="Tahoma"/>
          <w:b/>
          <w:bCs/>
          <w:sz w:val="16"/>
          <w:szCs w:val="16"/>
        </w:rPr>
        <w:t xml:space="preserve">…………………  </w:t>
      </w:r>
      <w:r>
        <w:rPr>
          <w:rFonts w:eastAsia="Calibri" w:cs="Tahoma" w:ascii="Tahoma" w:hAnsi="Tahoma"/>
          <w:sz w:val="16"/>
          <w:szCs w:val="16"/>
        </w:rPr>
        <w:t>w Suwałkach, pomiędzy</w:t>
      </w:r>
      <w:r>
        <w:rPr>
          <w:rFonts w:eastAsia="Calibri" w:cs="Tahoma" w:ascii="Tahoma" w:hAnsi="Tahoma"/>
          <w:color w:val="000000"/>
          <w:sz w:val="16"/>
          <w:szCs w:val="16"/>
        </w:rPr>
        <w:t>: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Tahoma" w:ascii="Tahoma" w:hAnsi="Tahoma"/>
          <w:b/>
          <w:sz w:val="16"/>
          <w:szCs w:val="16"/>
        </w:rPr>
        <w:t>Szpitalem Wojewódzkim im. dr. Ludwika Rydygiera w Suwałkach z siedzibą: 16-400 Suwałki, ul. Szpitalna 60,</w:t>
      </w:r>
      <w:r>
        <w:rPr>
          <w:rFonts w:eastAsia="Calibri" w:cs="Tahoma" w:ascii="Tahoma" w:hAnsi="Tahoma"/>
          <w:sz w:val="16"/>
          <w:szCs w:val="16"/>
        </w:rPr>
        <w:t xml:space="preserve"> wpisanym do Krajowego Rejestru Sądowego prowadzonego przez Sąd Rejonowy w Białymstoku, XII Wydział Gospodarczy Krajowego Rejestru Sądowego pod numerem KRS: 0000057017, NIP: 844-17-86-376, REGON: 790319362 zwanym w dalszej części treści umowy „Zamawiającym” reprezentowanym przez: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bookmarkStart w:id="0" w:name="_GoBack"/>
      <w:bookmarkEnd w:id="0"/>
      <w:r>
        <w:rPr>
          <w:rFonts w:eastAsia="Calibri" w:cs="Tahoma" w:ascii="Tahoma" w:hAnsi="Tahoma"/>
          <w:b/>
          <w:sz w:val="16"/>
          <w:szCs w:val="16"/>
        </w:rPr>
        <w:t xml:space="preserve">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/>
      </w:pPr>
      <w:r>
        <w:rPr>
          <w:rFonts w:eastAsia="Calibri" w:cs="Tahoma" w:ascii="Tahoma" w:hAnsi="Tahoma"/>
          <w:sz w:val="16"/>
          <w:szCs w:val="16"/>
        </w:rPr>
        <w:t xml:space="preserve"> …………………………………… </w:t>
      </w:r>
    </w:p>
    <w:p>
      <w:pPr>
        <w:pStyle w:val="Normal"/>
        <w:spacing w:lineRule="auto" w:line="3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a</w:t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ListParagraph"/>
        <w:numPr>
          <w:ilvl w:val="0"/>
          <w:numId w:val="8"/>
        </w:numPr>
        <w:suppressAutoHyphens w:val="false"/>
        <w:jc w:val="both"/>
        <w:rPr>
          <w:rFonts w:ascii="Tahoma" w:hAnsi="Tahoma" w:eastAsia="MS Mincho" w:cs="Tahoma"/>
          <w:sz w:val="16"/>
          <w:szCs w:val="16"/>
        </w:rPr>
      </w:pPr>
      <w:r>
        <w:rPr>
          <w:rFonts w:eastAsia="MS Mincho" w:cs="Tahoma" w:ascii="Tahoma" w:hAnsi="Tahoma"/>
          <w:sz w:val="16"/>
          <w:szCs w:val="16"/>
        </w:rPr>
        <w:t xml:space="preserve">  ……………………………………</w:t>
      </w:r>
    </w:p>
    <w:p>
      <w:pPr>
        <w:pStyle w:val="Normal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sz w:val="16"/>
          <w:szCs w:val="16"/>
        </w:rPr>
        <w:t>§ 1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sz w:val="16"/>
          <w:szCs w:val="16"/>
        </w:rPr>
        <w:t xml:space="preserve">Przedmiotem niniejszej umowy jest </w:t>
      </w:r>
      <w:r>
        <w:rPr>
          <w:rFonts w:cs="Tahoma" w:ascii="Tahoma" w:hAnsi="Tahoma"/>
          <w:b/>
          <w:sz w:val="16"/>
          <w:szCs w:val="16"/>
        </w:rPr>
        <w:t>dostawa p</w:t>
      </w:r>
      <w:r>
        <w:rPr>
          <w:rFonts w:cs="Tahoma" w:ascii="Tahoma" w:hAnsi="Tahoma"/>
          <w:b/>
          <w:sz w:val="16"/>
          <w:szCs w:val="16"/>
        </w:rPr>
        <w:t>łynów i proszków do prania</w:t>
      </w:r>
      <w:r>
        <w:rPr>
          <w:rFonts w:cs="Tahoma" w:ascii="Tahoma" w:hAnsi="Tahoma"/>
          <w:b/>
          <w:sz w:val="16"/>
          <w:szCs w:val="16"/>
        </w:rPr>
        <w:t xml:space="preserve"> </w:t>
      </w:r>
      <w:r>
        <w:rPr>
          <w:rFonts w:cs="Tahoma" w:ascii="Tahoma" w:hAnsi="Tahoma"/>
          <w:b/>
          <w:sz w:val="16"/>
          <w:szCs w:val="16"/>
        </w:rPr>
        <w:t>oraz środków czystościowych i myjących</w:t>
      </w:r>
      <w:r>
        <w:rPr>
          <w:rFonts w:cs="Tahoma" w:ascii="Tahoma" w:hAnsi="Tahoma"/>
          <w:sz w:val="16"/>
          <w:szCs w:val="16"/>
        </w:rPr>
        <w:t xml:space="preserve"> dla Zamawiającego na </w:t>
      </w:r>
      <w:r>
        <w:rPr>
          <w:rFonts w:cs="Tahoma" w:ascii="Tahoma" w:hAnsi="Tahoma"/>
          <w:b/>
          <w:sz w:val="16"/>
          <w:szCs w:val="16"/>
        </w:rPr>
        <w:t xml:space="preserve">okres </w:t>
      </w:r>
      <w:r>
        <w:rPr>
          <w:rFonts w:cs="Tahoma" w:ascii="Tahoma" w:hAnsi="Tahoma"/>
          <w:b/>
          <w:sz w:val="16"/>
          <w:szCs w:val="16"/>
        </w:rPr>
        <w:t>24</w:t>
      </w:r>
      <w:r>
        <w:rPr>
          <w:rFonts w:cs="Tahoma" w:ascii="Tahoma" w:hAnsi="Tahoma"/>
          <w:b/>
          <w:sz w:val="16"/>
          <w:szCs w:val="16"/>
        </w:rPr>
        <w:t xml:space="preserve"> miesięcy </w:t>
      </w:r>
      <w:r>
        <w:rPr>
          <w:rFonts w:cs="Tahoma" w:ascii="Tahoma" w:hAnsi="Tahoma"/>
          <w:sz w:val="16"/>
          <w:szCs w:val="16"/>
        </w:rPr>
        <w:t xml:space="preserve">w ilości, asortymencie i cenach określonych w ofercie Wykonawcy stanowiącej Załącznik nr 1 </w:t>
      </w:r>
      <w:r>
        <w:rPr>
          <w:rFonts w:cs="Tahoma" w:ascii="Tahoma" w:hAnsi="Tahoma"/>
          <w:sz w:val="16"/>
          <w:szCs w:val="16"/>
        </w:rPr>
        <w:t>i 2</w:t>
      </w:r>
      <w:r>
        <w:rPr>
          <w:rFonts w:cs="Tahoma" w:ascii="Tahoma" w:hAnsi="Tahoma"/>
          <w:sz w:val="16"/>
          <w:szCs w:val="16"/>
        </w:rPr>
        <w:t xml:space="preserve"> do niniejszej umowy. 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sz w:val="16"/>
          <w:szCs w:val="16"/>
        </w:rPr>
        <w:t xml:space="preserve">Ilość określona w Załączniku nr 1 </w:t>
      </w:r>
      <w:r>
        <w:rPr>
          <w:rFonts w:cs="Tahoma" w:ascii="Tahoma" w:hAnsi="Tahoma"/>
          <w:sz w:val="16"/>
          <w:szCs w:val="16"/>
        </w:rPr>
        <w:t>i 2</w:t>
      </w:r>
      <w:r>
        <w:rPr>
          <w:rFonts w:cs="Tahoma" w:ascii="Tahoma" w:hAnsi="Tahoma"/>
          <w:sz w:val="16"/>
          <w:szCs w:val="16"/>
        </w:rPr>
        <w:t xml:space="preserve"> do niniejszej umowy stanowi wielkość szacunkową i może ulec zmniejszeniu</w:t>
      </w:r>
      <w:r>
        <w:rPr>
          <w:rFonts w:cs="Tahoma" w:ascii="Tahoma" w:hAnsi="Tahoma"/>
          <w:color w:val="00B050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w zależności od potrzeb Zamawiającego. Zamawiający nie ma obowiązku dokonania zamówienia pozostałej części towaru niezrealizowanej w okresie trwania umowy z uwagi na zmniejszone zapotrzebowanie.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W   okresie   obowiązywania   niniejszej   umowy    Zamawiający   będzie   zamawiał   towar   o   wartości   nie przekraczającej  kwoty określonej w ust. 4.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Łączną wartość przedmiotowej umowy strony ustalają według reguł określonych w § 1 ust. 1 umowy na kwotę brutto:</w:t>
        <w:br/>
      </w:r>
      <w:r>
        <w:rPr>
          <w:rFonts w:cs="Tahoma" w:ascii="Tahoma" w:hAnsi="Tahoma"/>
          <w:b/>
          <w:bCs/>
          <w:sz w:val="16"/>
          <w:szCs w:val="16"/>
        </w:rPr>
        <w:t>……………</w:t>
      </w:r>
      <w:r>
        <w:rPr>
          <w:rFonts w:cs="Tahoma" w:ascii="Tahoma" w:hAnsi="Tahoma"/>
          <w:b/>
          <w:sz w:val="16"/>
          <w:szCs w:val="16"/>
        </w:rPr>
        <w:t xml:space="preserve"> PLN  (słownie: ………………………………………………….),</w:t>
      </w:r>
      <w:r>
        <w:rPr>
          <w:rFonts w:cs="Tahoma" w:ascii="Tahoma" w:hAnsi="Tahoma"/>
          <w:sz w:val="16"/>
          <w:szCs w:val="16"/>
        </w:rPr>
        <w:t xml:space="preserve">  w tym należny podatek VAT w wysokości 23 %.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sz w:val="16"/>
          <w:szCs w:val="16"/>
        </w:rPr>
        <w:t>Ceny jednostkowe nie ulegną zmianie przez cały okres obowiązywania umowy.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 wykonanie poszczególnych dostaw Zamawiający zapłaci Wykonawcy cenę obliczoną na podstawie cen jednostkowych brutto określonych w załączniku nr 1 do umowy i ilości faktycznie dostarczonych towarów.</w:t>
      </w:r>
    </w:p>
    <w:p>
      <w:pPr>
        <w:pStyle w:val="Tekstpodstawowy24"/>
        <w:numPr>
          <w:ilvl w:val="0"/>
          <w:numId w:val="2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sz w:val="16"/>
          <w:szCs w:val="16"/>
        </w:rPr>
        <w:t>Wynagrodzenie Wykonawcy jest wynagrodzeniem ryczałtowym za wszystkie świadczenia Wykonawcy konieczne do prawidłowego, pełnego, funkcjonalnego i terminowego wykonania przedmiotu umowy</w:t>
      </w:r>
    </w:p>
    <w:p>
      <w:pPr>
        <w:pStyle w:val="Normal"/>
        <w:spacing w:lineRule="auto" w:line="360"/>
        <w:ind w:left="4250" w:firstLine="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2</w:t>
      </w:r>
    </w:p>
    <w:p>
      <w:pPr>
        <w:pStyle w:val="Tekstpodstawowy24"/>
        <w:numPr>
          <w:ilvl w:val="0"/>
          <w:numId w:val="9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sz w:val="16"/>
          <w:szCs w:val="16"/>
        </w:rPr>
        <w:t>Dostawy następować będą sukcesywnie, w ilości i asortymencie, zgodnie z zamówieniami częściowymi Zamawiającego w terminie do 3 dni roboczych od dnia otrzymania zamówienia.</w:t>
      </w:r>
    </w:p>
    <w:p>
      <w:pPr>
        <w:pStyle w:val="Tekstpodstawowy24"/>
        <w:numPr>
          <w:ilvl w:val="0"/>
          <w:numId w:val="9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Zamówienia będą składane faksem, mailem  lub telefonicznie przez  osobę wyznaczona przez Zamawiającego – pracownika Działu Eksploatacyjnego. </w:t>
      </w:r>
    </w:p>
    <w:p>
      <w:pPr>
        <w:pStyle w:val="Tekstpodstawowy24"/>
        <w:numPr>
          <w:ilvl w:val="0"/>
          <w:numId w:val="9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Dostawy odbywać się będą na ryzyko i koszt Wykonawcy do Magazynu Działu Eksploatacyjnego Zamawiającego w Suwałkach, ul. Szpitalna 60 w dni robocze (tj. poniedziałek – piątek)  w godz. 8</w:t>
      </w:r>
      <w:r>
        <w:rPr>
          <w:rFonts w:cs="Tahoma" w:ascii="Tahoma" w:hAnsi="Tahoma"/>
          <w:color w:val="7030A0"/>
          <w:sz w:val="16"/>
          <w:szCs w:val="16"/>
        </w:rPr>
        <w:t>.</w:t>
      </w:r>
      <w:r>
        <w:rPr>
          <w:rFonts w:cs="Tahoma" w:ascii="Tahoma" w:hAnsi="Tahoma"/>
          <w:sz w:val="16"/>
          <w:szCs w:val="16"/>
        </w:rPr>
        <w:t>00 – 14</w:t>
      </w:r>
      <w:r>
        <w:rPr>
          <w:rFonts w:cs="Tahoma" w:ascii="Tahoma" w:hAnsi="Tahoma"/>
          <w:color w:val="7030A0"/>
          <w:sz w:val="16"/>
          <w:szCs w:val="16"/>
        </w:rPr>
        <w:t>.</w:t>
      </w:r>
      <w:r>
        <w:rPr>
          <w:rFonts w:cs="Tahoma" w:ascii="Tahoma" w:hAnsi="Tahoma"/>
          <w:sz w:val="16"/>
          <w:szCs w:val="16"/>
        </w:rPr>
        <w:t>00.</w:t>
      </w:r>
    </w:p>
    <w:p>
      <w:pPr>
        <w:pStyle w:val="Tekstpodstawowy24"/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4.</w:t>
        <w:tab/>
        <w:t xml:space="preserve">Odpowiedzialność za dostarczenie przedmiotu zamówienia w terminie i w miejsce wskazane przez Zamawiającego ponosi Wykonawca. </w:t>
      </w:r>
    </w:p>
    <w:p>
      <w:pPr>
        <w:pStyle w:val="Tekstpodstawowy24"/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5.</w:t>
        <w:tab/>
        <w:t>Za datę i miejsce dostawy uważa się dzień odbioru  towaru przez osobę  upoważniona przez Zamawiającego do odbioru towaru.</w:t>
      </w:r>
    </w:p>
    <w:p>
      <w:pPr>
        <w:pStyle w:val="Tekstpodstawowy24"/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6.</w:t>
        <w:tab/>
        <w:t xml:space="preserve">Zamawiający ma prawo odmówić odbioru towaru w przypadku ujawnienia   w zamówionej częściowej partii towaru, braków ilościowych w poszczególnych opakowaniach, wad jakościowych dostarczonego towaru oraz towaru przeterminowanego lub uszkodzonego. 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3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Wykonawca zapewnia, że dostarczony przedmiot umowy odpowiada przepisom, normatywom technicznym obowiązującym w Polsce. Wykonawca gwarantuje, że dostarczane artykuły w ramach umowy są wysokiej jakości i zapewniają należyte bezpieczeństwo.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Na materiały eksploatacyjne określone w § 1 ust. 1 Wykonawca udziela gwarancji na okres nie krótszy niż  12 miesięcy z zastrzeżeniem, że w przypadku, gdy producent udziela dłuższego terminu gwarancji, obowiązuje termin gwarancji określony przez producenta.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Na każdej partii towaru muszą znajdować się etykiety umożliwiające identyfikację towaru.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(nie krótszy niż 12 m-cy).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Zamawiający ma prawo do złożenia reklamacji w przypadku stwierdzenia, iż towar jest wadliwy.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Reklamacja będzie składana faksem, mailem przez pracownika Działu Eksploatacyjnego, a następnie niezwłocznie potwierdzona na piśmie.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sz w:val="16"/>
          <w:szCs w:val="16"/>
          <w:lang w:eastAsia="pl-PL"/>
        </w:rPr>
        <w:t>Towarem wadliwym jest w szczególności towar nie spełniający wymogów określonych w ust. 1, 2, 3, 4 oraz mający innego rodzaju wady fizyczne lub prawne.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Gdy dostawa jest niewłaściwa pod względem ilościowym, brakujący towar </w:t>
      </w:r>
      <w:r>
        <w:rPr>
          <w:rFonts w:cs="Tahoma" w:ascii="Tahoma" w:hAnsi="Tahoma"/>
          <w:sz w:val="16"/>
          <w:szCs w:val="16"/>
        </w:rPr>
        <w:t>Wykonawca</w:t>
      </w:r>
      <w:r>
        <w:rPr>
          <w:rFonts w:cs="Tahoma" w:ascii="Tahoma" w:hAnsi="Tahoma"/>
          <w:color w:val="000000"/>
          <w:sz w:val="16"/>
          <w:szCs w:val="16"/>
        </w:rPr>
        <w:t xml:space="preserve"> dostarcz</w:t>
      </w:r>
      <w:r>
        <w:rPr>
          <w:rFonts w:cs="Tahoma" w:ascii="Tahoma" w:hAnsi="Tahoma"/>
          <w:sz w:val="16"/>
          <w:szCs w:val="16"/>
        </w:rPr>
        <w:t>y</w:t>
      </w:r>
      <w:r>
        <w:rPr>
          <w:rFonts w:cs="Tahoma" w:ascii="Tahoma" w:hAnsi="Tahoma"/>
          <w:color w:val="000000"/>
          <w:sz w:val="16"/>
          <w:szCs w:val="16"/>
        </w:rPr>
        <w:t xml:space="preserve"> odpowiednio w terminach  wymienionych w § 2 ust. 1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 xml:space="preserve">W przypadku dostawy w całości lub w części o niewłaściwej jakości, Wykonawca zobowiązuje się rozpatrzyć reklamację złożoną na piśmie w ciągu 3 dni roboczych od daty jej otrzymania; jeżeli reklamacja zostanie uznana, towar wolny od wad </w:t>
      </w:r>
      <w:r>
        <w:rPr>
          <w:rFonts w:cs="Tahoma" w:ascii="Tahoma" w:hAnsi="Tahoma"/>
          <w:sz w:val="16"/>
          <w:szCs w:val="16"/>
        </w:rPr>
        <w:t>Wykonawca dostarczy</w:t>
      </w:r>
      <w:r>
        <w:rPr>
          <w:rFonts w:cs="Tahoma" w:ascii="Tahoma" w:hAnsi="Tahoma"/>
          <w:color w:val="000000"/>
          <w:sz w:val="16"/>
          <w:szCs w:val="16"/>
        </w:rPr>
        <w:t xml:space="preserve"> w terminach określonych  w § 2 ust. 1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color w:val="000000"/>
          <w:sz w:val="16"/>
          <w:szCs w:val="16"/>
        </w:rPr>
        <w:t>W przypadku dostarczenia towarów nie zamówionych przez Zamawiającego zostaną one zwrócone Wykonawcy na jego koszt i ryzyko.</w:t>
      </w:r>
    </w:p>
    <w:p>
      <w:pPr>
        <w:pStyle w:val="Tekstpodstawowy24"/>
        <w:numPr>
          <w:ilvl w:val="0"/>
          <w:numId w:val="3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  <w:lang w:eastAsia="pl-PL"/>
        </w:rPr>
      </w:pPr>
      <w:r>
        <w:rPr>
          <w:rFonts w:cs="Tahoma" w:ascii="Tahoma" w:hAnsi="Tahoma"/>
          <w:color w:val="000000"/>
          <w:sz w:val="16"/>
          <w:szCs w:val="16"/>
        </w:rPr>
        <w:t>Wszelkie czynności związane z reklamacją towaru obciążają Wykonawcę.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§ 4</w:t>
      </w:r>
    </w:p>
    <w:p>
      <w:pPr>
        <w:pStyle w:val="Normal"/>
        <w:numPr>
          <w:ilvl w:val="0"/>
          <w:numId w:val="4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cs="Tahoma" w:ascii="Tahoma" w:hAnsi="Tahoma"/>
          <w:sz w:val="16"/>
          <w:szCs w:val="16"/>
        </w:rPr>
        <w:t>o odstąpieniu od</w:t>
      </w:r>
      <w:r>
        <w:rPr>
          <w:rFonts w:cs="Tahoma" w:ascii="Tahoma" w:hAnsi="Tahoma"/>
          <w:color w:val="000000"/>
          <w:sz w:val="16"/>
          <w:szCs w:val="16"/>
        </w:rPr>
        <w:t xml:space="preserve"> umowy ze skutkiem natychmiastowym, jeżeli Wykonawca nie wymieni zakwestionowanego towaru wadliwego w terminie określonym w § 3 ust. 9 umowy.</w:t>
      </w:r>
    </w:p>
    <w:p>
      <w:pPr>
        <w:pStyle w:val="Normal"/>
        <w:numPr>
          <w:ilvl w:val="0"/>
          <w:numId w:val="4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Zamawiający zastrzega sobie prawo do złożenia oświadczenia </w:t>
      </w:r>
      <w:r>
        <w:rPr>
          <w:rFonts w:cs="Tahoma" w:ascii="Tahoma" w:hAnsi="Tahoma"/>
          <w:sz w:val="16"/>
          <w:szCs w:val="16"/>
        </w:rPr>
        <w:t>o odstąpieniu od</w:t>
      </w:r>
      <w:r>
        <w:rPr>
          <w:rFonts w:cs="Tahoma" w:ascii="Tahoma" w:hAnsi="Tahoma"/>
          <w:color w:val="000000"/>
          <w:sz w:val="16"/>
          <w:szCs w:val="16"/>
        </w:rPr>
        <w:t xml:space="preserve"> umowy ze skutkiem natychmiastowym, jeżeli Wykonawca nie zrealizuje w terminie </w:t>
      </w:r>
      <w:r>
        <w:rPr>
          <w:rFonts w:cs="Tahoma" w:ascii="Tahoma" w:hAnsi="Tahoma"/>
          <w:sz w:val="16"/>
          <w:szCs w:val="16"/>
        </w:rPr>
        <w:t xml:space="preserve">dwóch </w:t>
      </w:r>
      <w:r>
        <w:rPr>
          <w:rFonts w:cs="Tahoma" w:ascii="Tahoma" w:hAnsi="Tahoma"/>
          <w:color w:val="000000"/>
          <w:sz w:val="16"/>
          <w:szCs w:val="16"/>
        </w:rPr>
        <w:t>kolejnych zamówień złożonych przez Zamawiającego.</w:t>
      </w:r>
    </w:p>
    <w:p>
      <w:pPr>
        <w:pStyle w:val="Tekstpodstawowy24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5</w:t>
      </w:r>
    </w:p>
    <w:p>
      <w:pPr>
        <w:pStyle w:val="Normal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Zapłata za dostarczony towar następować będzie na podstawie faktury VAT.</w:t>
      </w:r>
    </w:p>
    <w:p>
      <w:pPr>
        <w:pStyle w:val="Normal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Zapłata za dostarczony towar następować będzie przelewem na konto Wykonawcy wskazane poniżej</w:t>
        <w:br/>
      </w:r>
      <w:r>
        <w:rPr>
          <w:rFonts w:cs="Tahoma" w:ascii="Tahoma" w:hAnsi="Tahoma"/>
          <w:b/>
          <w:bCs/>
          <w:color w:val="000000"/>
          <w:sz w:val="16"/>
          <w:szCs w:val="16"/>
        </w:rPr>
        <w:t>……………………………………………………………………….</w:t>
      </w:r>
      <w:r>
        <w:rPr>
          <w:rFonts w:cs="Tahoma" w:ascii="Tahoma" w:hAnsi="Tahoma"/>
          <w:color w:val="000000"/>
          <w:sz w:val="16"/>
          <w:szCs w:val="16"/>
        </w:rPr>
        <w:t xml:space="preserve"> w terminie do </w:t>
      </w:r>
      <w:r>
        <w:rPr>
          <w:rFonts w:cs="Tahoma" w:ascii="Tahoma" w:hAnsi="Tahoma"/>
          <w:b/>
          <w:color w:val="000000"/>
          <w:sz w:val="16"/>
          <w:szCs w:val="16"/>
        </w:rPr>
        <w:t>60 dni</w:t>
      </w:r>
      <w:r>
        <w:rPr>
          <w:rFonts w:cs="Tahoma" w:ascii="Tahoma" w:hAnsi="Tahoma"/>
          <w:color w:val="000000"/>
          <w:sz w:val="16"/>
          <w:szCs w:val="16"/>
        </w:rPr>
        <w:t xml:space="preserve"> od daty wpływu prawidłowo wystawionej faktury na adres Zamawiającego. Na fakturze powinien znajdować się numer dostawy wraz z wyodrębnieniem wszystkich pozycji dostarczonego towaru oraz wszystkie dane określone w art. 106 ust. 1 ustawy o VAT. </w:t>
      </w:r>
    </w:p>
    <w:p>
      <w:pPr>
        <w:pStyle w:val="Normal"/>
        <w:numPr>
          <w:ilvl w:val="0"/>
          <w:numId w:val="6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Wykonawca nie może odmówić świadczenia usług objętych niniejszą umową, w przypadku ewentualnego wystąpienia zaległości płatniczych u Zamawiającego.</w:t>
      </w:r>
    </w:p>
    <w:p>
      <w:pPr>
        <w:pStyle w:val="Normal"/>
        <w:numPr>
          <w:ilvl w:val="0"/>
          <w:numId w:val="6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Jako zapłatę za fakturę rozumie się datę obciążenia rachunku bankowego Zamawiającego.</w:t>
      </w:r>
    </w:p>
    <w:p>
      <w:pPr>
        <w:pStyle w:val="Normal"/>
        <w:spacing w:lineRule="auto" w:line="3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§ 6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Przeniesienie wierzytelności w sposób określony trybem art. 509 do 518 Kodeksu cywilnego, a wynikających z niniejszej umowy, wymaga pisemnej zgody Zamawiającego oraz podmiotu określonego w art. 54 ustawy z dnia 15 kwietnia 2014r. o działalności leczniczej (DZ.U.2013 2017 j.t.).</w:t>
      </w:r>
    </w:p>
    <w:p>
      <w:pPr>
        <w:pStyle w:val="Normal"/>
        <w:numPr>
          <w:ilvl w:val="0"/>
          <w:numId w:val="7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Bez zgody Zamawiającego wierzytelności wynikające z niniejszej umowy nie mogą stanowić przedmiotu poręczenia określonego w przepisach art. 876 do 887 Kodeksu cywilnego, ani jakiejkolwiek innej umowy zmieniającej strony stosunku zobowiązaniowego wynikającego z realizacji niniejszej umowy.</w:t>
      </w:r>
    </w:p>
    <w:p>
      <w:pPr>
        <w:pStyle w:val="Normal"/>
        <w:numPr>
          <w:ilvl w:val="0"/>
          <w:numId w:val="7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Strony wspólnie oświadczają, że wyłączają możliwość dokonywania przez podmioty trzecie Umowy Faktoringu, Umowy Gwarancyjnej, Umowy Zarządu Wierzytelnością, Umowa Inkasa. </w:t>
      </w:r>
    </w:p>
    <w:p>
      <w:pPr>
        <w:pStyle w:val="Normal"/>
        <w:numPr>
          <w:ilvl w:val="0"/>
          <w:numId w:val="7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Strony wspólnie oświadczają, że wyłączają możliwość dokonywania przez podmioty trzecie wszelkich czynności faktycznych lub prawnych związanych z wierzytelnościami Wykonawcy wynikającymi z niniejszej umowy bez uprzedniej, pisemnej zgody Zamawiającego.</w:t>
      </w:r>
    </w:p>
    <w:p>
      <w:pPr>
        <w:pStyle w:val="Normal"/>
        <w:numPr>
          <w:ilvl w:val="0"/>
          <w:numId w:val="7"/>
        </w:numPr>
        <w:spacing w:lineRule="auto" w:line="360"/>
        <w:ind w:left="284" w:hanging="28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Naruszenie przedmiotowego zakazu skutkować będzie obowiązkiem zapłaty przez Wykonawcę na rzecz Zamawiającego kary umownej w wysokości 5 % wierzytelności, którą nabyła niezależnie od podstawy faktycznej lub prawnej, osoba trzecia.</w:t>
      </w:r>
    </w:p>
    <w:p>
      <w:pPr>
        <w:pStyle w:val="Normal"/>
        <w:spacing w:lineRule="auto" w:line="36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§ 7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Wykonawca zapłaci Zamawiającemu kary umowne w przypadku nieterminowych dostaw bądź odmowy dostaw w wysokości 0,5 % wartości zamówienia częściowego brutto za każdy dzień zwłoki ponad terminy określone w § 2 ust. 1 umowy.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Wykonawca zapłaci Zamawiającemu kary umowne w przypadku nie dokonania wymiany towaru wadliwego na towar bez wad w wysokości 0,5 % wartości zamówienia częściowego brutto za każdy dzień zwłoki ponad terminy określone w § 3 ust. 9 umowy.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W przypadku gdy Wykonawca nie dostarczy przedmiotu umowy w terminach, określonych w § 2 ust. 1, Zamawiający zastrzega sobie prawo dokonania zakupu interwencyjnego od innego Wykonawcy w ilości i asortymencie nie zrealizowanej w terminie dostawy. 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W przypadku zakupu interwencyjnego zmniejsza się wielkość przedmiotu umowy o wielkość tego zakupu. 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W przypadku zakupu interwencyjnego Wykonawca zobowiązany jest do zwrotu Zamawiającemu różnicy pomiędzy ceną zakupu interwencyjnego i ceną dostawy przewidzianą w umowie.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Zamawiający może naliczyć Wykonawcy karę umowną w wysokości 10 % wartości brutto nie zrealizowanej części umowy w przypadku rozwiązania lub odstąpienia od umowy przez Zamawiającego z przyczyny leżących po stronie Wykonawcy.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W przypadku, gdy szkoda poniesiona przez Zamawiającego przewyższa wysokość kar umownych – Zamawiający zastrzega sobie prawo dochodzenia pełnego odszkodowania </w:t>
      </w:r>
      <w:r>
        <w:rPr>
          <w:rFonts w:cs="Tahoma" w:ascii="Tahoma" w:hAnsi="Tahoma"/>
          <w:sz w:val="16"/>
          <w:szCs w:val="16"/>
        </w:rPr>
        <w:t>według reguł określonych w Kodeksie Cywilnym</w:t>
      </w:r>
      <w:r>
        <w:rPr>
          <w:rFonts w:cs="Tahoma" w:ascii="Tahoma" w:hAnsi="Tahoma"/>
          <w:color w:val="000000"/>
          <w:sz w:val="16"/>
          <w:szCs w:val="16"/>
        </w:rPr>
        <w:t>.</w:t>
      </w:r>
    </w:p>
    <w:p>
      <w:pPr>
        <w:pStyle w:val="Akapitzlist1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>Zamawiający ma prawo potrącać kary umowne z wynagrodzenia Wykonawcy.</w:t>
      </w:r>
    </w:p>
    <w:p>
      <w:pPr>
        <w:pStyle w:val="Tekstpodstawowy24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8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Zamawiający może odstąpić od niniejszej umowy w trybie i na zasadach określonych w art. 145 ustawy Prawo zamówień publicznych.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Zamawiający działając w oparciu o art. 144 ust 1 ustawy Prawo zamówień publicznych określa następujące okoliczności, które mogą powodować konieczność wprowadzenia zmian w treści zawartej umowy w stosunku do treści złożonej oferty:</w:t>
      </w:r>
    </w:p>
    <w:p>
      <w:pPr>
        <w:pStyle w:val="Tekstpodstawowy1"/>
        <w:tabs>
          <w:tab w:val="left" w:pos="360" w:leader="none"/>
        </w:tabs>
        <w:spacing w:lineRule="auto" w:line="360"/>
        <w:ind w:left="720" w:hanging="0"/>
        <w:jc w:val="both"/>
        <w:rPr>
          <w:rFonts w:ascii="Tahoma" w:hAnsi="Tahoma" w:cs="Tahoma"/>
          <w:color w:val="FF0000"/>
          <w:sz w:val="16"/>
          <w:szCs w:val="16"/>
        </w:rPr>
      </w:pPr>
      <w:r>
        <w:rPr>
          <w:rFonts w:cs="Tahoma" w:ascii="Tahoma" w:hAnsi="Tahoma"/>
          <w:color w:val="000000"/>
          <w:sz w:val="16"/>
          <w:szCs w:val="16"/>
        </w:rPr>
        <w:t xml:space="preserve">a) </w:t>
      </w:r>
      <w:r>
        <w:rPr>
          <w:rFonts w:cs="Tahoma" w:ascii="Tahoma" w:hAnsi="Tahoma"/>
          <w:sz w:val="16"/>
          <w:szCs w:val="16"/>
        </w:rPr>
        <w:t>wydłużenia terminu realizacji umowy, Zamawiający dopuszcza przedłużenie terminu obowiązywania umowy w przypadku niewyczerpania kwoty określonej w § 1 ust. 4, jednak nie dłużej niż o 6 miesięcy,</w:t>
      </w:r>
    </w:p>
    <w:p>
      <w:pPr>
        <w:pStyle w:val="Tekstpodstawowy1"/>
        <w:tabs>
          <w:tab w:val="left" w:pos="360" w:leader="none"/>
        </w:tabs>
        <w:spacing w:lineRule="auto" w:line="360"/>
        <w:ind w:left="720" w:hanging="0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b) zamiany poszczególnego asortymentu, będącego przedmiotem umowy i wyszczególnionego w Załączniku nr 1 do niniejszej umowy, z chwilą zaprzestania lub wstrzymania jego produkcji, a o czym Wykonawca nie mógł wiedzieć z chwilą zawarcia niniejszej umowy, na tzw. „zamiennik” pod warunkiem, że spełni on wszystkie wymogi Zamawiającego w tym również cenę jednostkową brutto nie przekroczy kwoty określonej w § 1 ust. 4 umowy.</w:t>
      </w:r>
    </w:p>
    <w:p>
      <w:pPr>
        <w:pStyle w:val="Tekstpodstawowy1"/>
        <w:tabs>
          <w:tab w:val="left" w:pos="360" w:leader="none"/>
        </w:tabs>
        <w:spacing w:lineRule="auto" w:line="360"/>
        <w:ind w:left="720" w:hanging="0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>c) Zamawiający zastrzega sobie możliwość zmiany ilości poszczególnego asortymentu, będącego przedmiotem umowy i wyszczególnionego w Załączniku nr 1 do niniejszej umowy w zakresie łącznej wartości umowy, o której mowa w § 1 ust. 4 umowy,</w:t>
      </w:r>
    </w:p>
    <w:p>
      <w:pPr>
        <w:pStyle w:val="Normal"/>
        <w:spacing w:lineRule="auto" w:line="360"/>
        <w:ind w:left="709" w:hanging="0"/>
        <w:jc w:val="both"/>
        <w:rPr/>
      </w:pPr>
      <w:r>
        <w:rPr>
          <w:rFonts w:cs="Tahoma" w:ascii="Tahoma" w:hAnsi="Tahoma"/>
          <w:color w:val="000000"/>
          <w:sz w:val="16"/>
          <w:szCs w:val="16"/>
        </w:rPr>
        <w:t xml:space="preserve">d) numeru katalogowego produktu lub nazwy własnej produktu, zmianę sposobu konfekcjonowania – w przypadku, gdy wprowadzony zostanie na rynek produkt zmodyfikowany przy czym nie wpłynie to na zwiększenie wartości pakietu i będzie to produkt o parametrach nie gorszych od produktu objętego umową; </w:t>
      </w:r>
      <w:r>
        <w:rPr>
          <w:rFonts w:cs="Tahoma" w:ascii="Tahoma" w:hAnsi="Tahoma"/>
          <w:sz w:val="16"/>
          <w:szCs w:val="16"/>
        </w:rPr>
        <w:t xml:space="preserve"> wprowadzony zostanie do sprzedaży przez Wykonawcę produkt zmodyfikowany lub</w:t>
      </w:r>
      <w:r>
        <w:rPr>
          <w:rFonts w:cs="Tahoma" w:ascii="Tahoma" w:hAnsi="Tahoma"/>
          <w:color w:val="FF0000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udoskonalony,</w:t>
      </w:r>
      <w:r>
        <w:rPr>
          <w:rFonts w:cs="Tahoma" w:ascii="Tahoma" w:hAnsi="Tahoma"/>
          <w:color w:val="000000"/>
          <w:sz w:val="16"/>
          <w:szCs w:val="16"/>
        </w:rPr>
        <w:br/>
        <w:t xml:space="preserve">e) zmiana ceny w przypadku zmiany przepisów prawa podatkowego w okresie obowiązywania umowy dotyczących stawek VAT, przy czym zmiana nastąpi w wartości </w:t>
      </w:r>
      <w:r>
        <w:rPr>
          <w:rFonts w:cs="Tahoma" w:ascii="Tahoma" w:hAnsi="Tahoma"/>
          <w:sz w:val="16"/>
          <w:szCs w:val="16"/>
        </w:rPr>
        <w:t>brutto</w:t>
      </w:r>
      <w:r>
        <w:rPr>
          <w:rFonts w:cs="Tahoma" w:ascii="Tahoma" w:hAnsi="Tahoma"/>
          <w:color w:val="000000"/>
          <w:sz w:val="16"/>
          <w:szCs w:val="16"/>
        </w:rPr>
        <w:t xml:space="preserve">, natomiast wartość </w:t>
      </w:r>
      <w:r>
        <w:rPr>
          <w:rFonts w:cs="Tahoma" w:ascii="Tahoma" w:hAnsi="Tahoma"/>
          <w:sz w:val="16"/>
          <w:szCs w:val="16"/>
        </w:rPr>
        <w:t>netto</w:t>
      </w:r>
      <w:r>
        <w:rPr>
          <w:rFonts w:cs="Tahoma" w:ascii="Tahoma" w:hAnsi="Tahoma"/>
          <w:color w:val="FF0000"/>
          <w:sz w:val="16"/>
          <w:szCs w:val="16"/>
        </w:rPr>
        <w:t xml:space="preserve"> </w:t>
      </w:r>
      <w:r>
        <w:rPr>
          <w:rFonts w:cs="Tahoma" w:ascii="Tahoma" w:hAnsi="Tahoma"/>
          <w:color w:val="000000"/>
          <w:sz w:val="16"/>
          <w:szCs w:val="16"/>
        </w:rPr>
        <w:t>pozostaje bez zmian.</w:t>
      </w:r>
    </w:p>
    <w:p>
      <w:pPr>
        <w:pStyle w:val="Normal"/>
        <w:spacing w:lineRule="auto" w:line="360"/>
        <w:ind w:left="284" w:hanging="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Powyższe zmiany nie mogą być niekorzystne dla Zamawiającego.</w:t>
      </w:r>
    </w:p>
    <w:p>
      <w:pPr>
        <w:pStyle w:val="Normal"/>
        <w:numPr>
          <w:ilvl w:val="0"/>
          <w:numId w:val="5"/>
        </w:numPr>
        <w:spacing w:lineRule="auto" w:line="360"/>
        <w:ind w:left="284" w:hanging="284"/>
        <w:jc w:val="both"/>
        <w:rPr/>
      </w:pPr>
      <w:r>
        <w:rPr>
          <w:rFonts w:cs="Tahoma" w:ascii="Tahoma" w:hAnsi="Tahom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>
      <w:pPr>
        <w:pStyle w:val="Normal"/>
        <w:numPr>
          <w:ilvl w:val="0"/>
          <w:numId w:val="5"/>
        </w:numPr>
        <w:spacing w:lineRule="auto" w:line="360"/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W przypadku, o którym mowa w ust. 4  Wykonawca może żądać wyłącznie wynagrodzenia należnego z tytułu wykonania części umowy.</w:t>
      </w:r>
    </w:p>
    <w:p>
      <w:pPr>
        <w:pStyle w:val="Normal"/>
        <w:numPr>
          <w:ilvl w:val="0"/>
          <w:numId w:val="5"/>
        </w:numPr>
        <w:spacing w:lineRule="auto" w:line="360"/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Strony zgodnie ustalają, że w przypadku: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1)       zmiany statusu prawnego Zamawiającego,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2)       ograniczenia lub utraty istotnej części kontraktu z Narodowym Funduszem Zdrowia,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3)       istotnego ograniczenia zakresu i ilości świadczonych usług medycznych , 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4)      zmian organizacyjnych u Zamawiającego, </w:t>
      </w:r>
    </w:p>
    <w:p>
      <w:pPr>
        <w:pStyle w:val="Tekstpodstawowy24"/>
        <w:spacing w:lineRule="auto" w:line="360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</w:t>
      </w:r>
      <w:r>
        <w:rPr>
          <w:rFonts w:cs="Tahoma" w:ascii="Tahoma" w:hAnsi="Tahoma"/>
          <w:sz w:val="16"/>
          <w:szCs w:val="16"/>
        </w:rPr>
        <w:t xml:space="preserve">- rozwiązanie  zawartej   umowy  może  nastąpić  w  każdym  czasie  za  porozumieniem  stron  lub  w  drodze miesięcznego jej   wypowiedzenia. </w:t>
      </w:r>
    </w:p>
    <w:p>
      <w:pPr>
        <w:pStyle w:val="Tekstpodstawowy24"/>
        <w:spacing w:lineRule="auto" w:line="360"/>
        <w:jc w:val="center"/>
        <w:rPr/>
      </w:pPr>
      <w:r>
        <w:rPr>
          <w:rFonts w:cs="Tahoma" w:ascii="Tahoma" w:hAnsi="Tahoma"/>
          <w:sz w:val="16"/>
          <w:szCs w:val="16"/>
        </w:rPr>
        <w:t>§ 9</w:t>
      </w:r>
    </w:p>
    <w:p>
      <w:pPr>
        <w:pStyle w:val="Tekstpodstawowy24"/>
        <w:spacing w:lineRule="auto" w:line="360"/>
        <w:rPr/>
      </w:pPr>
      <w:r>
        <w:rPr>
          <w:rFonts w:eastAsia="Times New Roman" w:cs="Tahoma" w:ascii="Tahoma" w:hAnsi="Tahoma"/>
          <w:color w:val="000000"/>
          <w:sz w:val="16"/>
          <w:szCs w:val="16"/>
        </w:rPr>
        <w:t>Zmiany umowy</w:t>
      </w:r>
      <w:r>
        <w:rPr>
          <w:rFonts w:cs="Tahoma" w:ascii="Tahoma" w:hAnsi="Tahoma"/>
          <w:color w:val="000000"/>
          <w:sz w:val="16"/>
          <w:szCs w:val="16"/>
        </w:rPr>
        <w:t xml:space="preserve"> wymagają dla swej ważności formy pisemnej w postaci aneksu.</w:t>
      </w:r>
    </w:p>
    <w:p>
      <w:pPr>
        <w:pStyle w:val="Tekstpodstawowy24"/>
        <w:spacing w:lineRule="auto" w:line="360"/>
        <w:jc w:val="center"/>
        <w:rPr/>
      </w:pPr>
      <w:r>
        <w:rPr>
          <w:rFonts w:cs="Tahoma" w:ascii="Tahoma" w:hAnsi="Tahoma"/>
          <w:sz w:val="16"/>
          <w:szCs w:val="16"/>
        </w:rPr>
        <w:t>§ 10</w:t>
      </w:r>
    </w:p>
    <w:p>
      <w:pPr>
        <w:pStyle w:val="NormalWeb"/>
        <w:spacing w:lineRule="auto" w:line="360" w:before="0" w:after="0"/>
        <w:ind w:left="284" w:hanging="284"/>
        <w:jc w:val="both"/>
        <w:rPr/>
      </w:pPr>
      <w:r>
        <w:rPr>
          <w:rFonts w:cs="Tahoma" w:ascii="Tahoma" w:hAnsi="Tahoma"/>
          <w:sz w:val="16"/>
          <w:szCs w:val="16"/>
          <w:lang w:eastAsia="pl-PL"/>
        </w:rPr>
        <w:t>Wszelkie spory wynikające z realizacji niniejszej umowy rozstrzygane będą przez Sąd  właściwy dla siedziby Zamawiającego.</w:t>
      </w:r>
    </w:p>
    <w:p>
      <w:pPr>
        <w:pStyle w:val="NormalWeb"/>
        <w:spacing w:lineRule="auto" w:line="360" w:before="0" w:after="0"/>
        <w:ind w:left="284" w:hanging="284"/>
        <w:jc w:val="both"/>
        <w:rPr>
          <w:rFonts w:ascii="Tahoma" w:hAnsi="Tahoma" w:eastAsia="MS Mincho" w:cs="Tahoma"/>
          <w:color w:val="000000"/>
          <w:sz w:val="16"/>
          <w:szCs w:val="16"/>
        </w:rPr>
      </w:pPr>
      <w:r>
        <w:rPr>
          <w:rFonts w:eastAsia="MS Mincho" w:cs="Tahoma" w:ascii="Tahoma" w:hAnsi="Tahoma"/>
          <w:color w:val="000000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§ 11</w:t>
      </w:r>
    </w:p>
    <w:p>
      <w:pPr>
        <w:pStyle w:val="NormalnyWeb1"/>
        <w:spacing w:lineRule="auto" w:line="360"/>
        <w:ind w:right="170" w:hanging="0"/>
        <w:rPr/>
      </w:pPr>
      <w:r>
        <w:rPr>
          <w:rFonts w:cs="Tahoma" w:ascii="Tahoma" w:hAnsi="Tahoma"/>
          <w:sz w:val="16"/>
          <w:szCs w:val="16"/>
        </w:rPr>
        <w:t>1</w:t>
      </w:r>
      <w:r>
        <w:rPr>
          <w:rFonts w:cs="Tahoma" w:ascii="Tahoma" w:hAnsi="Tahoma"/>
          <w:sz w:val="16"/>
          <w:szCs w:val="16"/>
          <w:lang w:bidi="hi-IN"/>
        </w:rPr>
        <w:t>. Umowę zawier</w:t>
      </w:r>
      <w:r>
        <w:rPr>
          <w:rFonts w:cs="Tahoma" w:ascii="Tahoma" w:hAnsi="Tahoma"/>
          <w:sz w:val="16"/>
          <w:szCs w:val="16"/>
        </w:rPr>
        <w:t xml:space="preserve">a się na okres </w:t>
      </w:r>
      <w:r>
        <w:rPr>
          <w:rFonts w:cs="Tahoma" w:ascii="Tahoma" w:hAnsi="Tahoma"/>
          <w:b/>
          <w:bCs/>
          <w:sz w:val="16"/>
          <w:szCs w:val="16"/>
        </w:rPr>
        <w:t>24</w:t>
      </w:r>
      <w:r>
        <w:rPr>
          <w:rFonts w:cs="Tahoma" w:ascii="Tahoma" w:hAnsi="Tahoma"/>
          <w:b/>
          <w:sz w:val="16"/>
          <w:szCs w:val="16"/>
        </w:rPr>
        <w:t xml:space="preserve"> miesięcy</w:t>
      </w:r>
      <w:r>
        <w:rPr>
          <w:rFonts w:cs="Tahoma" w:ascii="Tahoma" w:hAnsi="Tahoma"/>
          <w:sz w:val="16"/>
          <w:szCs w:val="16"/>
        </w:rPr>
        <w:t xml:space="preserve"> od daty podpisania umowy tj. </w:t>
      </w:r>
      <w:r>
        <w:rPr>
          <w:rFonts w:cs="Tahoma" w:ascii="Tahoma" w:hAnsi="Tahoma"/>
          <w:b/>
          <w:bCs/>
          <w:sz w:val="16"/>
          <w:szCs w:val="16"/>
        </w:rPr>
        <w:t>od ………….. do …………..</w:t>
      </w:r>
    </w:p>
    <w:p>
      <w:pPr>
        <w:pStyle w:val="Tekstpodstawowy1"/>
        <w:tabs>
          <w:tab w:val="left" w:pos="360" w:leader="none"/>
        </w:tabs>
        <w:spacing w:lineRule="auto" w:line="360"/>
        <w:rPr/>
      </w:pPr>
      <w:r>
        <w:rPr>
          <w:rFonts w:cs="Tahoma" w:ascii="Tahoma" w:hAnsi="Tahoma"/>
          <w:sz w:val="16"/>
          <w:szCs w:val="16"/>
        </w:rPr>
        <w:t xml:space="preserve">2. Umowa </w:t>
      </w:r>
      <w:r>
        <w:rPr>
          <w:rFonts w:cs="Tahoma" w:ascii="Tahoma" w:hAnsi="Tahoma"/>
          <w:sz w:val="16"/>
          <w:szCs w:val="16"/>
          <w:lang w:eastAsia="ar-SA"/>
        </w:rPr>
        <w:t>przestaje</w:t>
      </w:r>
      <w:r>
        <w:rPr>
          <w:rFonts w:cs="Tahoma" w:ascii="Tahoma" w:hAnsi="Tahoma"/>
          <w:sz w:val="16"/>
          <w:szCs w:val="16"/>
        </w:rPr>
        <w:t xml:space="preserve"> obowiązywać przed terminem określonym w ust. 1, w przypadku wyczerpania asortymentu stanowiącego przedmiot zamówienia bądź w przypadku wyczerpania kwoty określonej w § 1 ust. 4.</w:t>
      </w:r>
    </w:p>
    <w:p>
      <w:pPr>
        <w:pStyle w:val="Tekstpodstawowy1"/>
        <w:tabs>
          <w:tab w:val="left" w:pos="360" w:leader="none"/>
        </w:tabs>
        <w:spacing w:lineRule="auto" w:line="360"/>
        <w:rPr/>
      </w:pPr>
      <w:r>
        <w:rPr>
          <w:rFonts w:cs="Tahoma" w:ascii="Tahoma" w:hAnsi="Tahoma"/>
          <w:sz w:val="16"/>
          <w:szCs w:val="16"/>
        </w:rPr>
        <w:t xml:space="preserve">3. </w:t>
      </w:r>
      <w:r>
        <w:rPr>
          <w:rFonts w:cs="Tahoma" w:ascii="Tahoma" w:hAnsi="Tahoma"/>
          <w:sz w:val="16"/>
          <w:szCs w:val="16"/>
          <w:lang w:eastAsia="ar-SA"/>
        </w:rPr>
        <w:t>W kwestiach nie uregulowanych niniejszą umową  mają zastosowanie przepisy Kodeksu Cywilnego ( z zastrzeżeniem ust. 4 niniejszego paragrafu) oraz Ustawy Prawo zamówień Publicznych.</w:t>
      </w:r>
    </w:p>
    <w:p>
      <w:pPr>
        <w:pStyle w:val="Tekstpodstawowy1"/>
        <w:tabs>
          <w:tab w:val="left" w:pos="360" w:leader="none"/>
        </w:tabs>
        <w:spacing w:lineRule="auto" w:line="360"/>
        <w:rPr/>
      </w:pPr>
      <w:r>
        <w:rPr>
          <w:rFonts w:cs="Tahoma" w:ascii="Tahoma" w:hAnsi="Tahoma"/>
          <w:sz w:val="16"/>
          <w:szCs w:val="16"/>
          <w:lang w:eastAsia="ar-SA"/>
        </w:rPr>
        <w:t xml:space="preserve">4. W przypadku opóźnienia w zakresie spełnienia świadczenia pieniężnego strona popadająca w opóźnienie zapłaci wyłącznie odsetki w wysokości </w:t>
      </w:r>
      <w:r>
        <w:rPr>
          <w:rFonts w:cs="Tahoma" w:ascii="Tahoma" w:hAnsi="Tahoma"/>
          <w:sz w:val="16"/>
          <w:szCs w:val="16"/>
        </w:rPr>
        <w:t>5% w stosunku rocznym za okres opóźnienia.</w:t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sz w:val="16"/>
          <w:szCs w:val="16"/>
        </w:rPr>
        <w:t>§ 12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Umowę sporządzono w dwóch jednobrzmiących egzemplarzach, po jednym dla każdej ze stron.</w:t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ekstpodstawowy24"/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Stopka"/>
        <w:tabs>
          <w:tab w:val="left" w:pos="708" w:leader="none"/>
          <w:tab w:val="center" w:pos="4536" w:leader="none"/>
          <w:tab w:val="right" w:pos="9072" w:leader="none"/>
        </w:tabs>
        <w:spacing w:lineRule="auto" w:line="360"/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b/>
          <w:bCs/>
          <w:sz w:val="16"/>
          <w:szCs w:val="16"/>
        </w:rPr>
        <w:t xml:space="preserve">     </w:t>
      </w:r>
      <w:r>
        <w:rPr>
          <w:rFonts w:cs="Tahoma" w:ascii="Tahoma" w:hAnsi="Tahoma"/>
          <w:b/>
          <w:bCs/>
          <w:sz w:val="16"/>
          <w:szCs w:val="16"/>
        </w:rPr>
        <w:t xml:space="preserve">ZAMAWIAJĄCY:                                                                           </w:t>
        <w:tab/>
        <w:t xml:space="preserve">WYKONAWCA: 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uxi Sans">
    <w:charset w:val="ee"/>
    <w:family w:val="roman"/>
    <w:pitch w:val="variable"/>
  </w:font>
  <w:font w:name="Gentium Book Basic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980" w:hanging="360"/>
      </w:pPr>
    </w:lvl>
    <w:lvl w:ilvl="3">
      <w:start w:val="6"/>
      <w:numFmt w:val="upperRoman"/>
      <w:lvlText w:val="%4"/>
      <w:lvlJc w:val="left"/>
      <w:pPr>
        <w:ind w:left="2880" w:hanging="72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lef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lef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bCs w:val="false"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03" w:hanging="360"/>
      </w:pPr>
    </w:lvl>
    <w:lvl w:ilvl="1">
      <w:start w:val="1"/>
      <w:numFmt w:val="lowerLetter"/>
      <w:lvlText w:val="%2."/>
      <w:lvlJc w:val="left"/>
      <w:pPr>
        <w:ind w:left="1423" w:hanging="360"/>
      </w:pPr>
    </w:lvl>
    <w:lvl w:ilvl="2">
      <w:start w:val="1"/>
      <w:numFmt w:val="lowerRoman"/>
      <w:lvlText w:val="%3."/>
      <w:lvlJc w:val="right"/>
      <w:pPr>
        <w:ind w:left="2143" w:hanging="180"/>
      </w:pPr>
    </w:lvl>
    <w:lvl w:ilvl="3">
      <w:start w:val="1"/>
      <w:numFmt w:val="decimal"/>
      <w:lvlText w:val="%4."/>
      <w:lvlJc w:val="left"/>
      <w:pPr>
        <w:ind w:left="2863" w:hanging="360"/>
      </w:pPr>
    </w:lvl>
    <w:lvl w:ilvl="4">
      <w:start w:val="1"/>
      <w:numFmt w:val="lowerLetter"/>
      <w:lvlText w:val="%5."/>
      <w:lvlJc w:val="left"/>
      <w:pPr>
        <w:ind w:left="3583" w:hanging="360"/>
      </w:pPr>
    </w:lvl>
    <w:lvl w:ilvl="5">
      <w:start w:val="1"/>
      <w:numFmt w:val="lowerRoman"/>
      <w:lvlText w:val="%6."/>
      <w:lvlJc w:val="right"/>
      <w:pPr>
        <w:ind w:left="4303" w:hanging="180"/>
      </w:pPr>
    </w:lvl>
    <w:lvl w:ilvl="6">
      <w:start w:val="1"/>
      <w:numFmt w:val="decimal"/>
      <w:lvlText w:val="%7."/>
      <w:lvlJc w:val="left"/>
      <w:pPr>
        <w:ind w:left="5023" w:hanging="360"/>
      </w:pPr>
    </w:lvl>
    <w:lvl w:ilvl="7">
      <w:start w:val="1"/>
      <w:numFmt w:val="lowerLetter"/>
      <w:lvlText w:val="%8."/>
      <w:lvlJc w:val="left"/>
      <w:pPr>
        <w:ind w:left="5743" w:hanging="360"/>
      </w:pPr>
    </w:lvl>
    <w:lvl w:ilvl="8">
      <w:start w:val="1"/>
      <w:numFmt w:val="lowerRoman"/>
      <w:lvlText w:val="%9."/>
      <w:lvlJc w:val="right"/>
      <w:pPr>
        <w:ind w:left="6463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bCs w:val="false"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05" w:hanging="360"/>
      </w:pPr>
      <w:rPr>
        <w:sz w:val="16"/>
        <w:rFonts w:eastAsia="Calibri" w:cs="Tahoma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c3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l-PL" w:bidi="ar-SA"/>
    </w:rPr>
  </w:style>
  <w:style w:type="paragraph" w:styleId="Nagwek1">
    <w:name w:val="Heading 1"/>
    <w:qFormat/>
    <w:pPr>
      <w:widowControl w:val="false"/>
      <w:outlineLvl w:val="0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pl-PL" w:eastAsia="en-US" w:bidi="ar-SA"/>
    </w:rPr>
  </w:style>
  <w:style w:type="paragraph" w:styleId="Nagwek2">
    <w:name w:val="Heading 2"/>
    <w:qFormat/>
    <w:pPr>
      <w:widowControl w:val="false"/>
      <w:outlineLvl w:val="1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pl-PL" w:eastAsia="en-US" w:bidi="ar-SA"/>
    </w:rPr>
  </w:style>
  <w:style w:type="paragraph" w:styleId="Nagwek3">
    <w:name w:val="Heading 3"/>
    <w:qFormat/>
    <w:pPr>
      <w:widowControl w:val="false"/>
      <w:outlineLvl w:val="2"/>
    </w:pPr>
    <w:rPr>
      <w:rFonts w:ascii="Calibri" w:hAnsi="Calibri" w:eastAsia="Calibri" w:cs="" w:asciiTheme="minorHAnsi" w:cstheme="minorBidi" w:eastAsiaTheme="minorHAnsi" w:hAnsiTheme="minorHAnsi"/>
      <w:color w:val="auto"/>
      <w:sz w:val="20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b3c3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podstawowyZnak" w:customStyle="1">
    <w:name w:val="Tekst podstawowy Znak"/>
    <w:basedOn w:val="DefaultParagraphFont"/>
    <w:link w:val="Tekstpodstawowy1"/>
    <w:qFormat/>
    <w:rsid w:val="001b3c3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1b3c3d"/>
    <w:rPr>
      <w:rFonts w:ascii="Luxi Sans" w:hAnsi="Luxi Sans" w:eastAsia="HG Mincho Light J" w:cs="Times New Roman"/>
      <w:sz w:val="28"/>
      <w:szCs w:val="20"/>
      <w:lang w:eastAsia="pl-PL"/>
    </w:rPr>
  </w:style>
  <w:style w:type="character" w:styleId="ListLabel1" w:customStyle="1">
    <w:name w:val="ListLabel 1"/>
    <w:qFormat/>
    <w:rsid w:val="00a64af1"/>
    <w:rPr>
      <w:rFonts w:ascii="Gentium Book Basic" w:hAnsi="Gentium Book Basic"/>
      <w:b w:val="false"/>
    </w:rPr>
  </w:style>
  <w:style w:type="character" w:styleId="ListLabel2" w:customStyle="1">
    <w:name w:val="ListLabel 2"/>
    <w:qFormat/>
    <w:rsid w:val="00a64af1"/>
    <w:rPr>
      <w:color w:val="00000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014b"/>
    <w:rPr>
      <w:rFonts w:ascii="Tahoma" w:hAnsi="Tahoma" w:eastAsia="Times New Roman" w:cs="Tahoma"/>
      <w:sz w:val="16"/>
      <w:szCs w:val="16"/>
      <w:lang w:eastAsia="ar-SA"/>
    </w:rPr>
  </w:style>
  <w:style w:type="character" w:styleId="TekstpodstawowyZnak1" w:customStyle="1">
    <w:name w:val="Tekst podstawowy Znak1"/>
    <w:basedOn w:val="DefaultParagraphFont"/>
    <w:qFormat/>
    <w:rsid w:val="0034004f"/>
    <w:rPr>
      <w:rFonts w:ascii="Times New Roman" w:hAnsi="Times New Roman" w:eastAsia="Times New Roman" w:cs="Times New Roman"/>
      <w:szCs w:val="20"/>
      <w:lang w:eastAsia="pl-PL" w:bidi="hi-IN"/>
    </w:rPr>
  </w:style>
  <w:style w:type="character" w:styleId="ListLabel3" w:customStyle="1">
    <w:name w:val="ListLabel 3"/>
    <w:qFormat/>
    <w:rPr>
      <w:rFonts w:cs="Tahoma"/>
      <w:b w:val="false"/>
      <w:sz w:val="16"/>
      <w:szCs w:val="16"/>
    </w:rPr>
  </w:style>
  <w:style w:type="character" w:styleId="ListLabel4" w:customStyle="1">
    <w:name w:val="ListLabel 4"/>
    <w:qFormat/>
    <w:rPr>
      <w:rFonts w:ascii="Tahoma" w:hAnsi="Tahoma"/>
      <w:b w:val="false"/>
      <w:bCs w:val="false"/>
      <w:sz w:val="16"/>
    </w:rPr>
  </w:style>
  <w:style w:type="character" w:styleId="Numeracjawierszy" w:customStyle="1">
    <w:name w:val="Numeracja wierszy"/>
    <w:rPr/>
  </w:style>
  <w:style w:type="character" w:styleId="Znakinumeracji" w:customStyle="1">
    <w:name w:val="Znaki numeracji"/>
    <w:qFormat/>
    <w:rPr/>
  </w:style>
  <w:style w:type="character" w:styleId="ListLabel5" w:customStyle="1">
    <w:name w:val="ListLabel 5"/>
    <w:qFormat/>
    <w:rPr>
      <w:rFonts w:ascii="Tahoma" w:hAnsi="Tahoma"/>
      <w:b w:val="false"/>
      <w:bCs w:val="false"/>
      <w:sz w:val="16"/>
    </w:rPr>
  </w:style>
  <w:style w:type="character" w:styleId="ListLabel6" w:customStyle="1">
    <w:name w:val="ListLabel 6"/>
    <w:qFormat/>
    <w:rPr>
      <w:rFonts w:ascii="Tahoma" w:hAnsi="Tahoma"/>
      <w:sz w:val="16"/>
      <w:szCs w:val="16"/>
    </w:rPr>
  </w:style>
  <w:style w:type="character" w:styleId="ListLabel7" w:customStyle="1">
    <w:name w:val="ListLabel 7"/>
    <w:qFormat/>
    <w:rPr>
      <w:rFonts w:ascii="Tahoma" w:hAnsi="Tahoma"/>
      <w:b w:val="false"/>
      <w:bCs w:val="false"/>
      <w:sz w:val="16"/>
    </w:rPr>
  </w:style>
  <w:style w:type="character" w:styleId="ListLabel8" w:customStyle="1">
    <w:name w:val="ListLabel 8"/>
    <w:qFormat/>
    <w:rPr>
      <w:rFonts w:eastAsia="Calibri" w:cs="Tahoma"/>
      <w:sz w:val="16"/>
    </w:rPr>
  </w:style>
  <w:style w:type="character" w:styleId="ListLabel9" w:customStyle="1">
    <w:name w:val="ListLabel 9"/>
    <w:qFormat/>
    <w:rPr>
      <w:rFonts w:eastAsia="Calibri" w:cs="Tahoma"/>
      <w:sz w:val="16"/>
    </w:rPr>
  </w:style>
  <w:style w:type="character" w:styleId="ListLabel10">
    <w:name w:val="ListLabel 10"/>
    <w:qFormat/>
    <w:rPr>
      <w:rFonts w:ascii="Tahoma" w:hAnsi="Tahoma"/>
      <w:b w:val="false"/>
      <w:bCs w:val="false"/>
      <w:sz w:val="16"/>
    </w:rPr>
  </w:style>
  <w:style w:type="character" w:styleId="ListLabel11">
    <w:name w:val="ListLabel 11"/>
    <w:qFormat/>
    <w:rPr>
      <w:rFonts w:ascii="Tahoma" w:hAnsi="Tahoma"/>
      <w:sz w:val="16"/>
      <w:szCs w:val="16"/>
    </w:rPr>
  </w:style>
  <w:style w:type="character" w:styleId="ListLabel12">
    <w:name w:val="ListLabel 12"/>
    <w:qFormat/>
    <w:rPr>
      <w:rFonts w:ascii="Tahoma" w:hAnsi="Tahoma"/>
      <w:b w:val="false"/>
      <w:bCs w:val="false"/>
      <w:sz w:val="16"/>
    </w:rPr>
  </w:style>
  <w:style w:type="character" w:styleId="ListLabel13">
    <w:name w:val="ListLabel 13"/>
    <w:qFormat/>
    <w:rPr>
      <w:rFonts w:eastAsia="Calibri" w:cs="Tahoma"/>
      <w:sz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kstpodstawowy1"/>
    <w:rsid w:val="00a64af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64af1"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link w:val="TekstpodstawowyZnak"/>
    <w:qFormat/>
    <w:rsid w:val="0034004f"/>
    <w:pPr>
      <w:spacing w:before="0" w:after="120"/>
    </w:pPr>
    <w:rPr>
      <w:lang w:eastAsia="pl-PL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 w:customStyle="1">
    <w:name w:val="Nagłówek1"/>
    <w:basedOn w:val="Normal"/>
    <w:qFormat/>
    <w:rsid w:val="00a64af1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a64a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rsid w:val="001b3c3d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1b3c3d"/>
    <w:pPr>
      <w:keepNext/>
      <w:spacing w:before="240" w:after="120"/>
    </w:pPr>
    <w:rPr>
      <w:rFonts w:ascii="Luxi Sans" w:hAnsi="Luxi Sans" w:eastAsia="HG Mincho Light J"/>
      <w:sz w:val="28"/>
      <w:lang w:eastAsia="pl-PL"/>
    </w:rPr>
  </w:style>
  <w:style w:type="paragraph" w:styleId="WWTekstpodstawowy2" w:customStyle="1">
    <w:name w:val="WW-Tekst podstawowy 2"/>
    <w:basedOn w:val="Normal"/>
    <w:uiPriority w:val="99"/>
    <w:qFormat/>
    <w:rsid w:val="001b3c3d"/>
    <w:pPr>
      <w:spacing w:lineRule="atLeast" w:line="160"/>
      <w:jc w:val="center"/>
    </w:pPr>
    <w:rPr>
      <w:b/>
      <w:sz w:val="24"/>
      <w:lang w:eastAsia="pl-PL"/>
    </w:rPr>
  </w:style>
  <w:style w:type="paragraph" w:styleId="NormalWeb">
    <w:name w:val="Normal (Web)"/>
    <w:basedOn w:val="Normal"/>
    <w:uiPriority w:val="99"/>
    <w:qFormat/>
    <w:rsid w:val="001b3c3d"/>
    <w:pPr>
      <w:suppressAutoHyphens w:val="false"/>
      <w:spacing w:before="100" w:after="119"/>
    </w:pPr>
    <w:rPr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1b3c3d"/>
    <w:pPr>
      <w:spacing w:lineRule="atLeast" w:line="100"/>
    </w:pPr>
    <w:rPr>
      <w:sz w:val="24"/>
    </w:rPr>
  </w:style>
  <w:style w:type="paragraph" w:styleId="Tekstpodstawowy24" w:customStyle="1">
    <w:name w:val="Tekst podstawowy 24"/>
    <w:basedOn w:val="Normal"/>
    <w:uiPriority w:val="99"/>
    <w:qFormat/>
    <w:rsid w:val="001b3c3d"/>
    <w:pPr>
      <w:spacing w:lineRule="atLeast" w:line="100"/>
    </w:pPr>
    <w:rPr>
      <w:rFonts w:eastAsia="MS Mincho"/>
      <w:sz w:val="24"/>
    </w:rPr>
  </w:style>
  <w:style w:type="paragraph" w:styleId="Western" w:customStyle="1">
    <w:name w:val="western"/>
    <w:basedOn w:val="Normal"/>
    <w:uiPriority w:val="99"/>
    <w:qFormat/>
    <w:rsid w:val="001b3c3d"/>
    <w:pPr>
      <w:suppressAutoHyphens w:val="false"/>
      <w:spacing w:before="280" w:after="0"/>
      <w:jc w:val="both"/>
    </w:pPr>
    <w:rPr>
      <w:sz w:val="24"/>
      <w:szCs w:val="24"/>
      <w:lang w:eastAsia="pl-PL"/>
    </w:rPr>
  </w:style>
  <w:style w:type="paragraph" w:styleId="NormalnyWeb1" w:customStyle="1">
    <w:name w:val="Normalny (Web)1"/>
    <w:basedOn w:val="Normal"/>
    <w:qFormat/>
    <w:rsid w:val="001b3c3d"/>
    <w:pPr>
      <w:spacing w:lineRule="atLeast" w:line="100"/>
    </w:pPr>
    <w:rPr/>
  </w:style>
  <w:style w:type="paragraph" w:styleId="ListParagraph">
    <w:name w:val="List Paragraph"/>
    <w:basedOn w:val="Normal"/>
    <w:uiPriority w:val="34"/>
    <w:qFormat/>
    <w:rsid w:val="00242a62"/>
    <w:pPr>
      <w:spacing w:before="0" w:after="0"/>
      <w:ind w:left="720" w:hanging="0"/>
      <w:contextualSpacing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14b"/>
    <w:pPr/>
    <w:rPr>
      <w:rFonts w:ascii="Tahoma" w:hAnsi="Tahoma" w:cs="Tahoma"/>
      <w:sz w:val="16"/>
      <w:szCs w:val="16"/>
    </w:rPr>
  </w:style>
  <w:style w:type="paragraph" w:styleId="NormalnyWeb2" w:customStyle="1">
    <w:name w:val="Normalny (Web)2"/>
    <w:basedOn w:val="Normal"/>
    <w:qFormat/>
    <w:rsid w:val="0034004f"/>
    <w:pPr>
      <w:spacing w:before="28" w:after="119"/>
    </w:pPr>
    <w:rPr>
      <w:sz w:val="24"/>
      <w:szCs w:val="24"/>
      <w:lang w:eastAsia="pl-PL" w:bidi="hi-IN"/>
    </w:rPr>
  </w:style>
  <w:style w:type="paragraph" w:styleId="Cytaty" w:customStyle="1">
    <w:name w:val="Cytaty"/>
    <w:basedOn w:val="Normal"/>
    <w:qFormat/>
    <w:pPr/>
    <w:rPr/>
  </w:style>
  <w:style w:type="paragraph" w:styleId="Podtytu">
    <w:name w:val="Subtitle"/>
    <w:basedOn w:val="Nagwek11"/>
    <w:qFormat/>
    <w:pPr/>
    <w:rPr/>
  </w:style>
  <w:style w:type="paragraph" w:styleId="Adreszwrotnynakopercie1" w:customStyle="1">
    <w:name w:val="Adres zwrotny na kopercie1"/>
    <w:basedOn w:val="Normal"/>
    <w:qFormat/>
    <w:pPr/>
    <w:rPr/>
  </w:style>
  <w:style w:type="paragraph" w:styleId="Nagweklisty" w:customStyle="1">
    <w:name w:val="Nagłówek listy"/>
    <w:basedOn w:val="Normal"/>
    <w:qFormat/>
    <w:pPr/>
    <w:rPr/>
  </w:style>
  <w:style w:type="paragraph" w:styleId="Tekstprzypisudolnego1" w:customStyle="1">
    <w:name w:val="Tekst przypisu dolnego1"/>
    <w:basedOn w:val="Normal"/>
    <w:qFormat/>
    <w:pPr/>
    <w:rPr/>
  </w:style>
  <w:style w:type="paragraph" w:styleId="Tekstprzypisukocowego1" w:customStyle="1">
    <w:name w:val="Tekst przypisu końcowego1"/>
    <w:basedOn w:val="Normal"/>
    <w:qFormat/>
    <w:pPr/>
    <w:rPr/>
  </w:style>
  <w:style w:type="paragraph" w:styleId="Stopkalewa" w:customStyle="1">
    <w:name w:val="Stopka lewa"/>
    <w:basedOn w:val="Normal"/>
    <w:qFormat/>
    <w:pPr/>
    <w:rPr/>
  </w:style>
  <w:style w:type="paragraph" w:styleId="Stopkaprawa" w:customStyle="1">
    <w:name w:val="Stopka prawa"/>
    <w:basedOn w:val="Normal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paragraph" w:styleId="Adresnakopercie1" w:customStyle="1">
    <w:name w:val="Adres na kopercie1"/>
    <w:basedOn w:val="Normal"/>
    <w:qFormat/>
    <w:pPr/>
    <w:rPr/>
  </w:style>
  <w:style w:type="paragraph" w:styleId="Zawartolisty" w:customStyle="1">
    <w:name w:val="Zawartość listy"/>
    <w:basedOn w:val="Normal"/>
    <w:qFormat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Zwrotgrzecznociowy">
    <w:name w:val="Salutation"/>
    <w:basedOn w:val="Normal"/>
    <w:pPr/>
    <w:rPr/>
  </w:style>
  <w:style w:type="paragraph" w:styleId="Gwkalewa" w:customStyle="1">
    <w:name w:val="Główka lewa"/>
    <w:basedOn w:val="Normal"/>
    <w:qFormat/>
    <w:pPr/>
    <w:rPr/>
  </w:style>
  <w:style w:type="paragraph" w:styleId="Gwkaprawa" w:customStyle="1">
    <w:name w:val="Główka prawa"/>
    <w:basedOn w:val="Normal"/>
    <w:qFormat/>
    <w:pPr/>
    <w:rPr/>
  </w:style>
  <w:style w:type="paragraph" w:styleId="Liniapozioma" w:customStyle="1">
    <w:name w:val="Linia poziom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LibreOffice/5.2.3.3$Windows_x86 LibreOffice_project/d54a8868f08a7b39642414cf2c8ef2f228f780cf</Application>
  <Pages>4</Pages>
  <Words>1748</Words>
  <Characters>10747</Characters>
  <CharactersWithSpaces>12564</CharactersWithSpaces>
  <Paragraphs>86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2015-03-10T10:08:00Z</dcterms:created>
  <dc:creator>Magda</dc:creator>
  <dc:description/>
  <dc:language>pl-PL</dc:language>
  <cp:lastModifiedBy/>
  <dcterms:modified xsi:type="dcterms:W3CDTF">2021-06-22T09:57:32Z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